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b/>
          <w:color w:val="FF0000"/>
          <w:sz w:val="84"/>
          <w:szCs w:val="84"/>
        </w:rPr>
      </w:pPr>
      <w:r>
        <w:rPr>
          <w:rFonts w:hint="eastAsia" w:ascii="黑体" w:hAnsi="黑体" w:eastAsia="黑体"/>
          <w:color w:val="FF0000"/>
          <w:sz w:val="96"/>
          <w:szCs w:val="96"/>
        </w:rPr>
        <w:t>以  案  释  纪</w:t>
      </w:r>
    </w:p>
    <w:p>
      <w:pPr>
        <w:jc w:val="center"/>
        <w:rPr>
          <w:rFonts w:eastAsia="仿宋_GB2312"/>
          <w:color w:val="000000"/>
          <w:sz w:val="30"/>
          <w:szCs w:val="30"/>
        </w:rPr>
      </w:pPr>
      <w:bookmarkStart w:id="0" w:name="doc_mark"/>
      <w:r>
        <w:rPr>
          <w:rFonts w:eastAsia="仿宋_GB2312"/>
          <w:sz w:val="30"/>
          <w:szCs w:val="30"/>
        </w:rPr>
        <w:t>川机廉音</w:t>
      </w:r>
      <w:bookmarkEnd w:id="0"/>
      <w:r>
        <w:rPr>
          <w:rFonts w:hint="eastAsia" w:eastAsia="仿宋_GB2312"/>
          <w:color w:val="000000"/>
          <w:sz w:val="30"/>
          <w:szCs w:val="30"/>
        </w:rPr>
        <w:t>2021年10月总第七期</w:t>
      </w:r>
    </w:p>
    <w:p>
      <w:pPr>
        <w:rPr>
          <w:rFonts w:eastAsia="仿宋_GB2312"/>
          <w:sz w:val="28"/>
          <w:szCs w:val="52"/>
        </w:rPr>
      </w:pPr>
      <w:r>
        <w:rPr>
          <w:rFonts w:eastAsia="仿宋_GB2312"/>
          <w:sz w:val="28"/>
          <w:szCs w:val="52"/>
        </w:rPr>
        <mc:AlternateContent>
          <mc:Choice Requires="wps">
            <w:drawing>
              <wp:anchor distT="0" distB="0" distL="114300" distR="114300" simplePos="0" relativeHeight="251659264" behindDoc="0" locked="0" layoutInCell="1" allowOverlap="1">
                <wp:simplePos x="0" y="0"/>
                <wp:positionH relativeFrom="column">
                  <wp:posOffset>-62230</wp:posOffset>
                </wp:positionH>
                <wp:positionV relativeFrom="paragraph">
                  <wp:posOffset>415290</wp:posOffset>
                </wp:positionV>
                <wp:extent cx="5857875" cy="38100"/>
                <wp:effectExtent l="0" t="31750" r="9525" b="44450"/>
                <wp:wrapNone/>
                <wp:docPr id="2" name="直接连接符 2"/>
                <wp:cNvGraphicFramePr/>
                <a:graphic xmlns:a="http://schemas.openxmlformats.org/drawingml/2006/main">
                  <a:graphicData uri="http://schemas.microsoft.com/office/word/2010/wordprocessingShape">
                    <wps:wsp>
                      <wps:cNvCnPr/>
                      <wps:spPr>
                        <a:xfrm flipV="1">
                          <a:off x="0" y="0"/>
                          <a:ext cx="5857875" cy="38100"/>
                        </a:xfrm>
                        <a:prstGeom prst="line">
                          <a:avLst/>
                        </a:prstGeom>
                        <a:ln w="63500">
                          <a:solidFill>
                            <a:srgbClr val="FF0000"/>
                          </a:solidFill>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4.9pt;margin-top:32.7pt;height:3pt;width:461.25pt;z-index:251659264;mso-width-relative:page;mso-height-relative:page;" filled="f" stroked="t" coordsize="21600,21600" o:gfxdata="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CKCE7YAAAACAEAAA8AAAAAAAAAAQAgAAAAIgAAAGRycy9kb3ducmV2Lnht&#10;bFBLAQIUABQAAAAIAIdO4kAQe6+B+QEAAM4DAAAOAAAAAAAAAAEAIAAAACcBAABkcnMvZTJvRG9j&#10;LnhtbFBLBQYAAAAABgAGAFkBAACSBQAAAAA=&#10;">
                <v:fill on="f" focussize="0,0"/>
                <v:stroke weight="5pt" color="#FF0000 [3204]" miterlimit="8" joinstyle="miter"/>
                <v:imagedata o:title=""/>
                <o:lock v:ext="edit" aspectratio="f"/>
              </v:line>
            </w:pict>
          </mc:Fallback>
        </mc:AlternateContent>
      </w:r>
      <w:r>
        <w:rPr>
          <w:rFonts w:eastAsia="仿宋_GB2312"/>
          <w:sz w:val="28"/>
          <w:szCs w:val="52"/>
        </w:rPr>
        <w:t xml:space="preserve">四川省机械研究设计院（集团）有限公司    </w:t>
      </w:r>
      <w:bookmarkStart w:id="1" w:name="Content"/>
      <w:bookmarkEnd w:id="1"/>
      <w:r>
        <w:rPr>
          <w:rFonts w:eastAsia="仿宋_GB2312"/>
          <w:sz w:val="28"/>
          <w:szCs w:val="52"/>
        </w:rPr>
        <w:t>二</w:t>
      </w:r>
      <w:r>
        <w:rPr>
          <w:rFonts w:eastAsia="微软雅黑"/>
          <w:sz w:val="28"/>
          <w:szCs w:val="52"/>
        </w:rPr>
        <w:t>〇</w:t>
      </w:r>
      <w:r>
        <w:rPr>
          <w:rFonts w:eastAsia="仿宋_GB2312"/>
          <w:sz w:val="28"/>
          <w:szCs w:val="52"/>
        </w:rPr>
        <w:t>二</w:t>
      </w:r>
      <w:r>
        <w:rPr>
          <w:rFonts w:hint="eastAsia" w:eastAsia="仿宋_GB2312"/>
          <w:sz w:val="28"/>
          <w:szCs w:val="52"/>
          <w:lang w:eastAsia="zh-CN"/>
        </w:rPr>
        <w:t>一</w:t>
      </w:r>
      <w:r>
        <w:rPr>
          <w:rFonts w:eastAsia="仿宋_GB2312"/>
          <w:sz w:val="28"/>
          <w:szCs w:val="52"/>
        </w:rPr>
        <w:t>年</w:t>
      </w:r>
      <w:r>
        <w:rPr>
          <w:rFonts w:hint="eastAsia" w:eastAsia="仿宋_GB2312"/>
          <w:sz w:val="28"/>
          <w:szCs w:val="52"/>
          <w:lang w:eastAsia="zh-CN"/>
        </w:rPr>
        <w:t>四</w:t>
      </w:r>
      <w:r>
        <w:rPr>
          <w:rFonts w:eastAsia="仿宋_GB2312"/>
          <w:sz w:val="28"/>
          <w:szCs w:val="52"/>
        </w:rPr>
        <w:t>月十六日</w:t>
      </w:r>
    </w:p>
    <w:p>
      <w:pPr>
        <w:rPr>
          <w:rFonts w:hint="eastAsia"/>
          <w:sz w:val="32"/>
          <w:szCs w:val="32"/>
        </w:rPr>
      </w:pPr>
    </w:p>
    <w:p>
      <w:pPr>
        <w:ind w:firstLine="600" w:firstLineChars="200"/>
        <w:rPr>
          <w:rFonts w:ascii="仿宋_GB2312" w:eastAsia="仿宋_GB2312"/>
          <w:color w:val="FF0000"/>
          <w:sz w:val="30"/>
          <w:szCs w:val="30"/>
        </w:rPr>
      </w:pPr>
      <w:bookmarkStart w:id="2" w:name="_GoBack"/>
      <w:r>
        <w:rPr>
          <w:rFonts w:hint="eastAsia" w:ascii="仿宋_GB2312" w:eastAsia="仿宋_GB2312"/>
          <w:color w:val="FF0000"/>
          <w:sz w:val="30"/>
          <w:szCs w:val="30"/>
        </w:rPr>
        <w:t>“常修从业之德，常思贪欲之害，常怀律己之心”。集团公司纪委每月推出一期线上廉政小课堂，通过“案例分享+分析点评”的方式，以案释纪，以案释德，以案释法。希望各位党员、干部认真学习、深入思考，知敬畏、存戒惧、守底线。让廉音阵阵入耳入心，清风相伴携手同行。</w:t>
      </w:r>
    </w:p>
    <w:bookmarkEnd w:id="2"/>
    <w:p>
      <w:pPr>
        <w:ind w:firstLine="600" w:firstLineChars="200"/>
        <w:rPr>
          <w:rFonts w:ascii="仿宋_GB2312" w:eastAsia="仿宋_GB2312"/>
          <w:sz w:val="30"/>
          <w:szCs w:val="30"/>
        </w:rPr>
      </w:pPr>
      <w:r>
        <w:rPr>
          <w:rFonts w:hint="eastAsia" w:ascii="仿宋_GB2312" w:eastAsia="仿宋_GB2312"/>
          <w:sz w:val="30"/>
          <w:szCs w:val="30"/>
        </w:rPr>
        <w:t>本期川机廉音以“规定+案例”分析干部违规兼职、兼职取酬案例，请各级领导干部认真学习，从中吸取深刻教训，引以为戒、警钟长鸣。</w:t>
      </w:r>
    </w:p>
    <w:p>
      <w:pPr>
        <w:ind w:firstLine="600" w:firstLineChars="200"/>
        <w:rPr>
          <w:rFonts w:ascii="仿宋_GB2312" w:eastAsia="仿宋_GB2312"/>
          <w:sz w:val="30"/>
          <w:szCs w:val="30"/>
        </w:rPr>
      </w:pPr>
      <w:r>
        <w:rPr>
          <w:rFonts w:hint="eastAsia" w:ascii="仿宋_GB2312" w:eastAsia="仿宋_GB2312"/>
          <w:sz w:val="30"/>
          <w:szCs w:val="30"/>
        </w:rPr>
        <w:t>所谓违规兼职取酬，是指党员干部违反规定，未经批准在各类经济组织、社会组织等兼职，或者虽经批准兼职但违规取酬的行为。公职人员是具有特殊身份的群体，违规兼职或兼职取酬，容易滋生权钱交易，带来利益输送等腐败问题。相关法律法规对国有企业领导人员违规兼职取酬均有明确禁止性要求。</w:t>
      </w:r>
    </w:p>
    <w:p>
      <w:pPr>
        <w:rPr>
          <w:rFonts w:ascii="仿宋_GB2312" w:eastAsia="仿宋_GB2312"/>
          <w:sz w:val="30"/>
          <w:szCs w:val="30"/>
        </w:rPr>
      </w:pPr>
      <w:r>
        <w:rPr>
          <w:rFonts w:hint="eastAsia" w:ascii="仿宋_GB2312" w:eastAsia="仿宋_GB2312"/>
          <w:sz w:val="30"/>
          <w:szCs w:val="30"/>
        </w:rPr>
        <w:t>根据《国有企业领导人员廉洁从业若干规定》第五条第六款的规定，国有企业领导人员应当忠实履行职责。不得有利用职权谋取私利以及损害本企业利益的行为：未经批准兼任本企业所出资企业或者其他企业、事业单位、社会团体、中介机构的领导职务，或者经批准兼职的，擅自领取薪酬及其他收入。根据第二十六条规定，国有企业领导班子成员以外的对国有资产负有经营管理责任的其他人员、国有企业所属事业单位的领导人员参照本规定执行。需要强调的是，根据《廉政准则实施办法》第十四条第三款规定，党员领导干部违反规定，在经济实体、社会团体等单位中兼职或者兼职取酬的，应当辞去本职或兼任的职务，所收取的报酬（包括各种经济利益）应当收缴。</w:t>
      </w:r>
    </w:p>
    <w:p>
      <w:pPr>
        <w:ind w:firstLine="750" w:firstLineChars="250"/>
        <w:rPr>
          <w:rFonts w:ascii="仿宋_GB2312" w:eastAsia="仿宋_GB2312"/>
          <w:sz w:val="30"/>
          <w:szCs w:val="30"/>
        </w:rPr>
      </w:pPr>
      <w:r>
        <w:rPr>
          <w:rFonts w:hint="eastAsia" w:ascii="仿宋_GB2312" w:eastAsia="仿宋_GB2312"/>
          <w:sz w:val="30"/>
          <w:szCs w:val="30"/>
        </w:rPr>
        <w:t>根据中办发〔2009〕26号，国有独资企业、国有控股企业（含国有独资金融企业和国有控股金融企业）及其分支机构的领导班子成员离职或者退休后三年内，不得在与原任职企业有业务关系的私营企业、外资企业和中介机构担任职务、投资入股，或者在上述企业或者机构从事、代理与原任职企业经营业务相关的经营活动。</w:t>
      </w:r>
    </w:p>
    <w:p>
      <w:pPr>
        <w:ind w:firstLine="750" w:firstLineChars="250"/>
        <w:rPr>
          <w:rFonts w:ascii="仿宋_GB2312" w:eastAsia="仿宋_GB2312"/>
          <w:sz w:val="30"/>
          <w:szCs w:val="30"/>
        </w:rPr>
      </w:pPr>
      <w:r>
        <w:rPr>
          <w:rFonts w:hint="eastAsia" w:ascii="仿宋_GB2312" w:eastAsia="仿宋_GB2312"/>
          <w:sz w:val="30"/>
          <w:szCs w:val="30"/>
        </w:rPr>
        <w:t>根据《中共中央纪律检查委员会、监察部关于中央纪委第四次全会重申和提出的国有企业领导人员廉洁自律有关规定的解释》(中纪发[2000]12号)，国有企业领导人员经批准兼职的，兼职单位给予的工资或者其他报酬，应当上交本企业。企业领导人员个人出资在经批准兼职的企业合法持有的股份，其红利不视为个人兼职取酬。但兼职企业给予企业领导人员的股份及其红利应视为兼职取酬。</w:t>
      </w:r>
    </w:p>
    <w:p>
      <w:pPr>
        <w:ind w:firstLine="750" w:firstLineChars="250"/>
        <w:rPr>
          <w:rFonts w:ascii="仿宋_GB2312" w:eastAsia="仿宋_GB2312"/>
          <w:sz w:val="30"/>
          <w:szCs w:val="30"/>
        </w:rPr>
      </w:pPr>
      <w:r>
        <w:rPr>
          <w:rFonts w:hint="eastAsia" w:ascii="仿宋_GB2312" w:eastAsia="仿宋_GB2312"/>
          <w:sz w:val="30"/>
          <w:szCs w:val="30"/>
        </w:rPr>
        <w:t>近年来，干部违规兼职取酬的现象并不鲜见，一些人一边领着国家发放的工资，一边拿着企业优厚的酬劳，在本职与兼职中穿梭，妄图“权”“利”双收，结果必将受到纪律的惩处。“受禄之家，食禄而已，不与民争业。”广大党员干部要从中汲取深刻教训，增强纪律观念和规矩意识，牢记“当官发财，应当两道，想要两头占，必然两头空”。</w:t>
      </w:r>
    </w:p>
    <w:p>
      <w:pPr>
        <w:ind w:firstLine="600" w:firstLineChars="200"/>
        <w:rPr>
          <w:rFonts w:ascii="仿宋_GB2312" w:eastAsia="仿宋_GB2312"/>
          <w:sz w:val="30"/>
          <w:szCs w:val="30"/>
        </w:rPr>
      </w:pPr>
      <w:r>
        <w:rPr>
          <w:rFonts w:hint="eastAsia" w:ascii="仿宋_GB2312" w:eastAsia="仿宋_GB2312"/>
          <w:sz w:val="30"/>
          <w:szCs w:val="30"/>
        </w:rPr>
        <w:t>以下</w:t>
      </w:r>
      <w:r>
        <w:rPr>
          <w:rFonts w:ascii="仿宋_GB2312" w:eastAsia="仿宋_GB2312"/>
          <w:sz w:val="30"/>
          <w:szCs w:val="30"/>
        </w:rPr>
        <w:t>3</w:t>
      </w:r>
      <w:r>
        <w:rPr>
          <w:rFonts w:hint="eastAsia" w:ascii="仿宋_GB2312" w:eastAsia="仿宋_GB2312"/>
          <w:sz w:val="30"/>
          <w:szCs w:val="30"/>
        </w:rPr>
        <w:t>个违规违纪案例，请引以为戒。</w:t>
      </w:r>
    </w:p>
    <w:p>
      <w:pPr>
        <w:ind w:firstLine="602" w:firstLineChars="200"/>
        <w:rPr>
          <w:rFonts w:ascii="仿宋_GB2312" w:eastAsia="仿宋_GB2312"/>
          <w:sz w:val="30"/>
          <w:szCs w:val="30"/>
        </w:rPr>
      </w:pPr>
      <w:r>
        <w:rPr>
          <w:rFonts w:hint="eastAsia" w:ascii="仿宋_GB2312" w:eastAsia="仿宋_GB2312"/>
          <w:b/>
          <w:bCs/>
          <w:sz w:val="30"/>
          <w:szCs w:val="30"/>
        </w:rPr>
        <w:t>案例一：</w:t>
      </w:r>
      <w:r>
        <w:rPr>
          <w:rFonts w:hint="eastAsia" w:ascii="仿宋_GB2312" w:eastAsia="仿宋_GB2312"/>
          <w:sz w:val="30"/>
          <w:szCs w:val="30"/>
        </w:rPr>
        <w:t>2017年9月，兰金明在市财政局梅川分局工作期间，未经组织批准，在百汇公司从事会计工作，2017年9月至2019年2月期间，兰金明领取报酬共计66737元。2019年7月，市纪委给予兰金明党内警告处分，收缴违纪所得。</w:t>
      </w:r>
    </w:p>
    <w:p>
      <w:pPr>
        <w:ind w:firstLine="602" w:firstLineChars="200"/>
        <w:rPr>
          <w:rFonts w:ascii="仿宋_GB2312" w:eastAsia="仿宋_GB2312"/>
          <w:sz w:val="30"/>
          <w:szCs w:val="30"/>
        </w:rPr>
      </w:pPr>
      <w:r>
        <w:rPr>
          <w:rFonts w:hint="eastAsia" w:ascii="仿宋_GB2312" w:eastAsia="仿宋_GB2312"/>
          <w:b/>
          <w:bCs/>
          <w:sz w:val="30"/>
          <w:szCs w:val="30"/>
        </w:rPr>
        <w:t>案例二：</w:t>
      </w:r>
      <w:r>
        <w:rPr>
          <w:rFonts w:hint="eastAsia" w:ascii="仿宋_GB2312" w:eastAsia="仿宋_GB2312"/>
          <w:sz w:val="30"/>
          <w:szCs w:val="30"/>
        </w:rPr>
        <w:t>2011年，司新涛在任市司法局武穴司法所所长期间，未经组织批准，在湖北某房地产开发有限公司兼职法律顾问，并收取法律顾问费5000元。司新涛还有其他违纪问题。2018年12月，市纪委给予司新涛严重警告处分，收缴违纪所得。</w:t>
      </w:r>
    </w:p>
    <w:p>
      <w:pPr>
        <w:ind w:firstLine="602" w:firstLineChars="200"/>
        <w:rPr>
          <w:rFonts w:ascii="仿宋_GB2312" w:eastAsia="仿宋_GB2312"/>
          <w:sz w:val="30"/>
          <w:szCs w:val="30"/>
        </w:rPr>
      </w:pPr>
      <w:r>
        <w:rPr>
          <w:rFonts w:hint="eastAsia" w:ascii="仿宋_GB2312" w:eastAsia="仿宋_GB2312"/>
          <w:b/>
          <w:bCs/>
          <w:sz w:val="30"/>
          <w:szCs w:val="30"/>
        </w:rPr>
        <w:t>案例三：</w:t>
      </w:r>
      <w:r>
        <w:rPr>
          <w:rFonts w:hint="eastAsia" w:ascii="仿宋_GB2312" w:eastAsia="仿宋_GB2312"/>
          <w:sz w:val="30"/>
          <w:szCs w:val="30"/>
        </w:rPr>
        <w:t>2000年12月至今，陈勇先后任六盘水市化工轻工公司副经理、经理。其间，兼任六盘水钟水民爆器材经营有限责任公司总经理（法定代表人），工资待遇列入该公司开支。2011年11月至2015年8月，陈勇在钟水民爆器材经营有限责任公司领取工资的情况下，又私自安排人员为其在市化工轻工公司造册领取工资共计11.8841万元。2016年6月15日，陈勇受到党内警告处分，并上缴违规兼职所得。</w:t>
      </w:r>
    </w:p>
    <w:p>
      <w:pPr>
        <w:rPr>
          <w:rFonts w:hint="eastAsia" w:ascii="仿宋_GB2312" w:eastAsia="仿宋_GB2312"/>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5MjM2ZTFiYzE1ZmY4OWVlYzEyYzZkNTJlZDFhYzYifQ=="/>
  </w:docVars>
  <w:rsids>
    <w:rsidRoot w:val="42FE7EDF"/>
    <w:rsid w:val="000754BC"/>
    <w:rsid w:val="00325725"/>
    <w:rsid w:val="00A52009"/>
    <w:rsid w:val="00A9694E"/>
    <w:rsid w:val="00BB475E"/>
    <w:rsid w:val="00C25827"/>
    <w:rsid w:val="00D30F89"/>
    <w:rsid w:val="00DD23BE"/>
    <w:rsid w:val="00E705CE"/>
    <w:rsid w:val="00F72225"/>
    <w:rsid w:val="00F855C5"/>
    <w:rsid w:val="029F251F"/>
    <w:rsid w:val="02B031A3"/>
    <w:rsid w:val="02F1048C"/>
    <w:rsid w:val="041B7004"/>
    <w:rsid w:val="058F60A5"/>
    <w:rsid w:val="0A071FA0"/>
    <w:rsid w:val="0A4A22CA"/>
    <w:rsid w:val="0CD74373"/>
    <w:rsid w:val="119F7476"/>
    <w:rsid w:val="126C55E4"/>
    <w:rsid w:val="141D2F4B"/>
    <w:rsid w:val="142801B9"/>
    <w:rsid w:val="15C43EE9"/>
    <w:rsid w:val="16313CC4"/>
    <w:rsid w:val="178B3DA8"/>
    <w:rsid w:val="1874697B"/>
    <w:rsid w:val="18C04CE1"/>
    <w:rsid w:val="191676D9"/>
    <w:rsid w:val="19F74EF1"/>
    <w:rsid w:val="1B3812BA"/>
    <w:rsid w:val="1BF63FCB"/>
    <w:rsid w:val="1C0550F1"/>
    <w:rsid w:val="1CFF610C"/>
    <w:rsid w:val="1DC53877"/>
    <w:rsid w:val="1DDA230C"/>
    <w:rsid w:val="1E1F4FE7"/>
    <w:rsid w:val="22A80661"/>
    <w:rsid w:val="237934E0"/>
    <w:rsid w:val="245918F8"/>
    <w:rsid w:val="25915FB5"/>
    <w:rsid w:val="259B77C5"/>
    <w:rsid w:val="28F52760"/>
    <w:rsid w:val="2C9162C8"/>
    <w:rsid w:val="2CF0268A"/>
    <w:rsid w:val="2D335BB7"/>
    <w:rsid w:val="2D6F2C2D"/>
    <w:rsid w:val="2E0F2D8E"/>
    <w:rsid w:val="2EEF35FD"/>
    <w:rsid w:val="31254FAD"/>
    <w:rsid w:val="315F2B23"/>
    <w:rsid w:val="34A1053C"/>
    <w:rsid w:val="376B3E88"/>
    <w:rsid w:val="37E147D5"/>
    <w:rsid w:val="3BF92B17"/>
    <w:rsid w:val="3E7B5171"/>
    <w:rsid w:val="40743F69"/>
    <w:rsid w:val="42406174"/>
    <w:rsid w:val="42FE7EDF"/>
    <w:rsid w:val="43A53ECD"/>
    <w:rsid w:val="470D4BCB"/>
    <w:rsid w:val="4A1206E1"/>
    <w:rsid w:val="4D8F360C"/>
    <w:rsid w:val="4DF25CFA"/>
    <w:rsid w:val="4FAC0539"/>
    <w:rsid w:val="53C05CEF"/>
    <w:rsid w:val="5C3034FE"/>
    <w:rsid w:val="5F3B6B75"/>
    <w:rsid w:val="62C073A4"/>
    <w:rsid w:val="63694E2F"/>
    <w:rsid w:val="658921E1"/>
    <w:rsid w:val="65BE07BE"/>
    <w:rsid w:val="66EE5EEC"/>
    <w:rsid w:val="67631CB0"/>
    <w:rsid w:val="68942636"/>
    <w:rsid w:val="6C1F440C"/>
    <w:rsid w:val="6D4B732E"/>
    <w:rsid w:val="6D825B72"/>
    <w:rsid w:val="6DAA6747"/>
    <w:rsid w:val="6DB15FB1"/>
    <w:rsid w:val="6EF23E79"/>
    <w:rsid w:val="703E3099"/>
    <w:rsid w:val="726B72F6"/>
    <w:rsid w:val="72D4437B"/>
    <w:rsid w:val="73301F04"/>
    <w:rsid w:val="74C01ADB"/>
    <w:rsid w:val="7B9D67B5"/>
    <w:rsid w:val="7C075BF3"/>
    <w:rsid w:val="7D765CB1"/>
    <w:rsid w:val="7DB144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